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楷体_GB2312" w:eastAsia="楷体_GB2312" w:cs="楷体_GB2312"/>
          <w:b/>
          <w:bCs/>
          <w:sz w:val="44"/>
          <w:szCs w:val="44"/>
          <w:lang w:val="en-US" w:eastAsia="zh-CN"/>
        </w:rPr>
      </w:pPr>
      <w:r>
        <w:rPr>
          <w:rFonts w:hint="eastAsia" w:ascii="楷体_GB2312" w:hAnsi="楷体_GB2312" w:eastAsia="楷体_GB2312" w:cs="楷体_GB2312"/>
          <w:b/>
          <w:bCs/>
          <w:sz w:val="44"/>
          <w:szCs w:val="44"/>
          <w:lang w:eastAsia="zh-CN"/>
        </w:rPr>
        <w:t>益阳市委党校</w:t>
      </w:r>
      <w:r>
        <w:rPr>
          <w:rFonts w:hint="eastAsia" w:ascii="楷体_GB2312" w:hAnsi="楷体_GB2312" w:eastAsia="楷体_GB2312" w:cs="楷体_GB2312"/>
          <w:b/>
          <w:bCs/>
          <w:sz w:val="44"/>
          <w:szCs w:val="44"/>
          <w:lang w:val="en-US" w:eastAsia="zh-CN"/>
        </w:rPr>
        <w:t>2020年部门整体支出</w:t>
      </w:r>
    </w:p>
    <w:p>
      <w:pPr>
        <w:jc w:val="center"/>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44"/>
          <w:szCs w:val="44"/>
          <w:lang w:val="en-US" w:eastAsia="zh-CN"/>
        </w:rPr>
        <w:t>绩效自评报告</w:t>
      </w:r>
    </w:p>
    <w:p>
      <w:pPr>
        <w:spacing w:line="360" w:lineRule="auto"/>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为深入贯彻落实《中共中央国务院关于全面实施预算绩效管理的意见》（中发[2018]34号）精神，不断增强预算绩效理念，强化部门支出责任，推进全面实施预算绩效管理，提高财政资金使用效益，我校认真组织进行了2020年度预算绩效自评工作，现将我校部门整体支出绩效评价情况报告如下：</w:t>
      </w:r>
    </w:p>
    <w:p>
      <w:pPr>
        <w:numPr>
          <w:ilvl w:val="0"/>
          <w:numId w:val="1"/>
        </w:numPr>
        <w:spacing w:line="360" w:lineRule="auto"/>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部门基本情况：</w:t>
      </w:r>
    </w:p>
    <w:p>
      <w:pPr>
        <w:numPr>
          <w:ilvl w:val="0"/>
          <w:numId w:val="2"/>
        </w:numPr>
        <w:spacing w:line="360" w:lineRule="auto"/>
        <w:ind w:firstLine="562"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主要职能</w:t>
      </w:r>
    </w:p>
    <w:p>
      <w:pPr>
        <w:numPr>
          <w:ilvl w:val="0"/>
          <w:numId w:val="0"/>
        </w:numPr>
        <w:spacing w:line="360" w:lineRule="auto"/>
        <w:ind w:firstLine="56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（1）中共益阳市委党校是在益阳市委直接领导下培养党员领导干部和理论干部的学校，是市委的重要部门，是培训轮训党员领导干部的主渠道，是党的哲学社会科学研究机构。</w:t>
      </w:r>
    </w:p>
    <w:p>
      <w:pPr>
        <w:numPr>
          <w:ilvl w:val="0"/>
          <w:numId w:val="0"/>
        </w:numPr>
        <w:spacing w:line="360" w:lineRule="auto"/>
        <w:ind w:firstLine="56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（2）校院开设有处级干部进修班、中青年干部培训班、科级干部进修班、公务员培训班、四区科干、中青班、各类专题研讨班等主体班次，年均培训轮训各级领导干部620人。</w:t>
      </w:r>
    </w:p>
    <w:p>
      <w:pPr>
        <w:numPr>
          <w:ilvl w:val="0"/>
          <w:numId w:val="0"/>
        </w:numPr>
        <w:spacing w:line="360" w:lineRule="auto"/>
        <w:ind w:firstLine="56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3）把习近平新时代中国特色社会主义思想党的十九大精神作为各主体班教学的核心内容，设置马列理论毛泽东思想和中国特色社会主义理论体系，充分运用课堂讲授、现场教学、求是论坛等教学手段，使学员真学、真懂、真信、真用。通过“用学术讲政治”补齐目前的教学短板，不断完善教学改革。</w:t>
      </w:r>
    </w:p>
    <w:p>
      <w:pPr>
        <w:numPr>
          <w:ilvl w:val="0"/>
          <w:numId w:val="0"/>
        </w:numPr>
        <w:spacing w:line="360" w:lineRule="auto"/>
        <w:ind w:firstLine="56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（4）完成市委和省委党校交办的其他工作。</w:t>
      </w:r>
    </w:p>
    <w:p>
      <w:pPr>
        <w:numPr>
          <w:ilvl w:val="0"/>
          <w:numId w:val="0"/>
        </w:numPr>
        <w:spacing w:line="360" w:lineRule="auto"/>
        <w:ind w:firstLine="56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2．</w:t>
      </w:r>
      <w:r>
        <w:rPr>
          <w:rFonts w:hint="eastAsia" w:ascii="楷体_GB2312" w:hAnsi="楷体_GB2312" w:eastAsia="楷体_GB2312" w:cs="楷体_GB2312"/>
          <w:b/>
          <w:bCs/>
          <w:sz w:val="28"/>
          <w:szCs w:val="28"/>
          <w:lang w:val="en-US" w:eastAsia="zh-CN"/>
        </w:rPr>
        <w:t>机构情况</w:t>
      </w:r>
      <w:r>
        <w:rPr>
          <w:rFonts w:hint="eastAsia" w:ascii="楷体_GB2312" w:hAnsi="楷体_GB2312" w:eastAsia="楷体_GB2312" w:cs="楷体_GB2312"/>
          <w:sz w:val="28"/>
          <w:szCs w:val="28"/>
          <w:lang w:val="en-US" w:eastAsia="zh-CN"/>
        </w:rPr>
        <w:t>：益阳市委党校是公益一类全额事业单位。分行政科室和教研教辅科室两部分。行政科室有：校办公室、教务科、科研科、学员管理科、培训科、指导与联络科、组织人事科、行离退休人员管理科、财务科、行政科、保卫科、机关党委。教研教辅处室有：马克思主义理论教研室、党史党建教研室、统战理论教研室、经济教研室、管理教研室、法律教研室、科技信息中心、图书馆。</w:t>
      </w:r>
      <w:r>
        <w:rPr>
          <w:rFonts w:hint="eastAsia" w:ascii="楷体_GB2312" w:hAnsi="楷体_GB2312" w:eastAsia="楷体_GB2312" w:cs="楷体_GB2312"/>
          <w:sz w:val="28"/>
          <w:szCs w:val="28"/>
          <w:lang w:val="en-US" w:eastAsia="zh-CN"/>
        </w:rPr>
        <w:tab/>
      </w:r>
    </w:p>
    <w:p>
      <w:pPr>
        <w:numPr>
          <w:ilvl w:val="0"/>
          <w:numId w:val="0"/>
        </w:numPr>
        <w:spacing w:line="360" w:lineRule="auto"/>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3、</w:t>
      </w:r>
      <w:r>
        <w:rPr>
          <w:rFonts w:hint="eastAsia" w:ascii="楷体_GB2312" w:hAnsi="楷体_GB2312" w:eastAsia="楷体_GB2312" w:cs="楷体_GB2312"/>
          <w:b/>
          <w:bCs/>
          <w:sz w:val="28"/>
          <w:szCs w:val="28"/>
          <w:lang w:val="en-US" w:eastAsia="zh-CN"/>
        </w:rPr>
        <w:t>人员情况</w:t>
      </w:r>
      <w:r>
        <w:rPr>
          <w:rFonts w:hint="eastAsia" w:ascii="楷体_GB2312" w:hAnsi="楷体_GB2312" w:eastAsia="楷体_GB2312" w:cs="楷体_GB2312"/>
          <w:sz w:val="28"/>
          <w:szCs w:val="28"/>
          <w:lang w:val="en-US" w:eastAsia="zh-CN"/>
        </w:rPr>
        <w:t>：我校是参照公务员管理的财政全额拨款的事业单位。工资管理实行行政和事业两种编制，现有在职人员94人（其中参公管理人员44人，非参公人员50人）；离休人员4人；退休人员95人。</w:t>
      </w:r>
    </w:p>
    <w:p>
      <w:pPr>
        <w:numPr>
          <w:ilvl w:val="0"/>
          <w:numId w:val="0"/>
        </w:numPr>
        <w:spacing w:line="360" w:lineRule="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二、一般公共预算支出情况</w:t>
      </w:r>
    </w:p>
    <w:p>
      <w:pPr>
        <w:numPr>
          <w:ilvl w:val="0"/>
          <w:numId w:val="0"/>
        </w:numPr>
        <w:spacing w:line="360" w:lineRule="auto"/>
        <w:ind w:firstLine="42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2020年部门决算支出情况：</w:t>
      </w:r>
    </w:p>
    <w:p>
      <w:pPr>
        <w:numPr>
          <w:ilvl w:val="0"/>
          <w:numId w:val="3"/>
        </w:numPr>
        <w:spacing w:line="360" w:lineRule="auto"/>
        <w:ind w:firstLine="42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收入：1989.08万元。其中一般公共预算财政拨款1976.98万元；事业收入11.91万元，其他收入0.2万元。</w:t>
      </w:r>
    </w:p>
    <w:p>
      <w:pPr>
        <w:numPr>
          <w:ilvl w:val="0"/>
          <w:numId w:val="3"/>
        </w:numPr>
        <w:spacing w:line="360" w:lineRule="auto"/>
        <w:ind w:firstLine="42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支出：2126.3万元。其中基本支出1815.43万元，项目支出310.87万元。</w:t>
      </w:r>
    </w:p>
    <w:p>
      <w:pPr>
        <w:numPr>
          <w:ilvl w:val="0"/>
          <w:numId w:val="3"/>
        </w:numPr>
        <w:spacing w:line="360" w:lineRule="auto"/>
        <w:ind w:firstLine="42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收入支出与预算对比分析：当年收入决算1989.08万元，较年初预算1729.77万元增加259.31万元。其中四区主体班培训费13.54万元，人员增资及奖励经费增加等245.77万元，主要是2019年度综治奖、绩效考评奖及人员增资。</w:t>
      </w:r>
    </w:p>
    <w:p>
      <w:pPr>
        <w:numPr>
          <w:ilvl w:val="0"/>
          <w:numId w:val="3"/>
        </w:numPr>
        <w:snapToGrid w:val="0"/>
        <w:spacing w:line="520" w:lineRule="exact"/>
        <w:ind w:left="0" w:leftChars="0" w:firstLine="420" w:firstLineChars="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（1）收入结构分析</w:t>
      </w:r>
    </w:p>
    <w:p>
      <w:pPr>
        <w:numPr>
          <w:ilvl w:val="0"/>
          <w:numId w:val="0"/>
        </w:numPr>
        <w:snapToGrid w:val="0"/>
        <w:spacing w:line="520" w:lineRule="exact"/>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当年收入决算1989.08万元，其中：</w:t>
      </w:r>
    </w:p>
    <w:p>
      <w:pPr>
        <w:numPr>
          <w:ilvl w:val="0"/>
          <w:numId w:val="0"/>
        </w:numPr>
        <w:spacing w:line="360" w:lineRule="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当年一般公共服务支出收入5.94万元，占当年总收入的0.30%</w:t>
      </w:r>
    </w:p>
    <w:p>
      <w:pPr>
        <w:numPr>
          <w:ilvl w:val="0"/>
          <w:numId w:val="0"/>
        </w:numPr>
        <w:spacing w:line="360" w:lineRule="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当年其他教育支出收入1620.12万元，占当年总收入的81.45%</w:t>
      </w:r>
    </w:p>
    <w:p>
      <w:pPr>
        <w:numPr>
          <w:ilvl w:val="0"/>
          <w:numId w:val="0"/>
        </w:numPr>
        <w:spacing w:line="360" w:lineRule="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当年科学技术支出收入0.5万元，占当年总收入的0.03%</w:t>
      </w:r>
    </w:p>
    <w:p>
      <w:pPr>
        <w:numPr>
          <w:ilvl w:val="0"/>
          <w:numId w:val="0"/>
        </w:numPr>
        <w:spacing w:line="360" w:lineRule="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当年社会保障和就业支出收入168.2万元，占当年总收入的8.46%</w:t>
      </w:r>
    </w:p>
    <w:p>
      <w:pPr>
        <w:numPr>
          <w:ilvl w:val="0"/>
          <w:numId w:val="0"/>
        </w:numPr>
        <w:spacing w:line="360" w:lineRule="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当年卫生健康支出收入108.7万元，占当年总收入的5.46%</w:t>
      </w:r>
    </w:p>
    <w:p>
      <w:pPr>
        <w:numPr>
          <w:ilvl w:val="0"/>
          <w:numId w:val="0"/>
        </w:numPr>
        <w:spacing w:line="360" w:lineRule="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当年住房保障支出85.62万元，占当年总收入的4.3%</w:t>
      </w:r>
    </w:p>
    <w:p>
      <w:pPr>
        <w:numPr>
          <w:ilvl w:val="0"/>
          <w:numId w:val="4"/>
        </w:numPr>
        <w:spacing w:line="360" w:lineRule="auto"/>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支出结构分析</w:t>
      </w:r>
    </w:p>
    <w:p>
      <w:pPr>
        <w:numPr>
          <w:ilvl w:val="0"/>
          <w:numId w:val="0"/>
        </w:numPr>
        <w:spacing w:line="360" w:lineRule="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当年支出决算2126.30万元，其中：</w:t>
      </w:r>
    </w:p>
    <w:p>
      <w:pPr>
        <w:numPr>
          <w:ilvl w:val="0"/>
          <w:numId w:val="0"/>
        </w:numPr>
        <w:spacing w:line="360" w:lineRule="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当年一般公共服务支出5.94万元，占当年总支出0.28%</w:t>
      </w:r>
    </w:p>
    <w:p>
      <w:pPr>
        <w:numPr>
          <w:ilvl w:val="0"/>
          <w:numId w:val="0"/>
        </w:numPr>
        <w:spacing w:line="360" w:lineRule="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当年其他教育支出1755.34万元，占当年总支出82.55%</w:t>
      </w:r>
    </w:p>
    <w:p>
      <w:pPr>
        <w:numPr>
          <w:ilvl w:val="0"/>
          <w:numId w:val="0"/>
        </w:numPr>
        <w:spacing w:line="360" w:lineRule="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当年社会保障和就业支出168.2万元，占当年总支出7.91%</w:t>
      </w:r>
    </w:p>
    <w:p>
      <w:pPr>
        <w:numPr>
          <w:ilvl w:val="0"/>
          <w:numId w:val="0"/>
        </w:numPr>
        <w:spacing w:line="360" w:lineRule="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当年卫生健康支出108.7万元，占当年总支出的5.11%</w:t>
      </w:r>
    </w:p>
    <w:p>
      <w:pPr>
        <w:numPr>
          <w:ilvl w:val="0"/>
          <w:numId w:val="0"/>
        </w:numPr>
        <w:spacing w:line="360" w:lineRule="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当年住房保障支出85.62万元，占当年总支出4.03%</w:t>
      </w:r>
    </w:p>
    <w:p>
      <w:pPr>
        <w:numPr>
          <w:ilvl w:val="0"/>
          <w:numId w:val="0"/>
        </w:numPr>
        <w:spacing w:line="360" w:lineRule="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当年科学技术支出2.5万元，占当年总收入的0.12%</w:t>
      </w:r>
    </w:p>
    <w:p>
      <w:pPr>
        <w:numPr>
          <w:ilvl w:val="0"/>
          <w:numId w:val="0"/>
        </w:numPr>
        <w:spacing w:line="360" w:lineRule="auto"/>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5、支出按经济分类科目分析。</w:t>
      </w:r>
    </w:p>
    <w:p>
      <w:pPr>
        <w:numPr>
          <w:ilvl w:val="0"/>
          <w:numId w:val="0"/>
        </w:numPr>
        <w:spacing w:line="360" w:lineRule="auto"/>
        <w:ind w:left="420" w:leftChars="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（1）“三公”经费支出情况：</w:t>
      </w:r>
    </w:p>
    <w:p>
      <w:pPr>
        <w:numPr>
          <w:ilvl w:val="0"/>
          <w:numId w:val="0"/>
        </w:numPr>
        <w:spacing w:line="360" w:lineRule="auto"/>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本年三公经费年初预算17.45万元，其中公务接待费10.45万元，公务用车运行维护费7万元。本年三公经费决算数10.57万元，其中公务接待费10.06万元，完成预算的57.65%，比上年的10.57万元减少了0.51万元；公务用车运行维护费2.81万元，完成预算的40%，比上年的6.52万元减少3.71万元。主要原因是停用了两台车。</w:t>
      </w:r>
    </w:p>
    <w:p>
      <w:pPr>
        <w:numPr>
          <w:ilvl w:val="0"/>
          <w:numId w:val="0"/>
        </w:numPr>
        <w:spacing w:line="360" w:lineRule="auto"/>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（2）会议费支出情况：</w:t>
      </w:r>
    </w:p>
    <w:p>
      <w:pPr>
        <w:numPr>
          <w:ilvl w:val="0"/>
          <w:numId w:val="0"/>
        </w:numPr>
        <w:spacing w:line="360" w:lineRule="auto"/>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本年会议费支出11.46万元，较上年增加3.71万元。主要是竞赛活动如校运会增加。</w:t>
      </w:r>
    </w:p>
    <w:p>
      <w:pPr>
        <w:numPr>
          <w:ilvl w:val="0"/>
          <w:numId w:val="0"/>
        </w:numPr>
        <w:spacing w:line="360" w:lineRule="auto"/>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（3）培训费支出情况：</w:t>
      </w:r>
    </w:p>
    <w:p>
      <w:pPr>
        <w:numPr>
          <w:ilvl w:val="0"/>
          <w:numId w:val="0"/>
        </w:numPr>
        <w:spacing w:line="360" w:lineRule="auto"/>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本年培训费支出80.67万元，较上年减少25.57万元，主要原因是本年度会计处理科目上下年度不一致。</w:t>
      </w:r>
    </w:p>
    <w:p>
      <w:pPr>
        <w:numPr>
          <w:ilvl w:val="0"/>
          <w:numId w:val="0"/>
        </w:numPr>
        <w:spacing w:line="360" w:lineRule="auto"/>
        <w:ind w:firstLine="560" w:firstLineChars="200"/>
        <w:rPr>
          <w:rFonts w:hint="eastAsia" w:ascii="楷体_GB2312" w:hAnsi="楷体_GB2312" w:eastAsia="楷体_GB2312" w:cs="楷体_GB2312"/>
          <w:b/>
          <w:sz w:val="28"/>
          <w:szCs w:val="28"/>
        </w:rPr>
      </w:pPr>
      <w:r>
        <w:rPr>
          <w:rFonts w:hint="eastAsia" w:ascii="楷体_GB2312" w:hAnsi="楷体_GB2312" w:eastAsia="楷体_GB2312" w:cs="楷体_GB2312"/>
          <w:sz w:val="28"/>
          <w:szCs w:val="28"/>
          <w:lang w:val="en-US" w:eastAsia="zh-CN"/>
        </w:rPr>
        <w:t>6、年末结转和结余情况。</w:t>
      </w:r>
    </w:p>
    <w:p>
      <w:pPr>
        <w:numPr>
          <w:ilvl w:val="0"/>
          <w:numId w:val="0"/>
        </w:numPr>
        <w:spacing w:line="360" w:lineRule="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本年年末累计结转66.46万元，其中项目支出结转66.46万元。</w:t>
      </w:r>
    </w:p>
    <w:p>
      <w:pPr>
        <w:numPr>
          <w:ilvl w:val="0"/>
          <w:numId w:val="0"/>
        </w:numPr>
        <w:spacing w:line="360" w:lineRule="auto"/>
        <w:ind w:firstLine="42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（二）整体支出绩效目标</w:t>
      </w:r>
    </w:p>
    <w:p>
      <w:pPr>
        <w:numPr>
          <w:ilvl w:val="0"/>
          <w:numId w:val="0"/>
        </w:numPr>
        <w:spacing w:line="360" w:lineRule="auto"/>
        <w:ind w:firstLine="420"/>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个性指标：2020年市委市政府对党校绩效考核工作有四项：一是完成市委组织部下达的调训主体班8期，培训学员520人，超往年培训人数30%。承接市委办、市委组织部等17家市直单位和部门、企业和资阳、赫山两区单位来校召开会议、举办短期培训班共计39期，培训学员达5020人次，得到办班单位、部门的一至好评。二是联络与业务指导工作全面展开。年内联系指导桃江、安化、沅江、南县等四县市党校工作11次，向省校上报各类材料19项；三是为贯彻落实《中国共产党党校（行政学院）工作条例》和全国、全省党校校长会议精神，召开了全市党校校长会议，利用中央党校、省委党校和市委党校的教育培训网络，为县市党校提供了培训动态、课程点播、培训管理与信息交流等服务；四是举办了全市党校系统第十四次教学教学比赛暨精评课评选和学习贯彻党的十九届四中全会精神理论研讨会暨科研工作会。</w:t>
      </w:r>
    </w:p>
    <w:p>
      <w:pPr>
        <w:numPr>
          <w:ilvl w:val="0"/>
          <w:numId w:val="0"/>
        </w:numPr>
        <w:spacing w:line="360" w:lineRule="auto"/>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预决算公开：我校切实按照财政部门的要求，做到了部门预算公开内容完整，包括部门主要职责及部门预算单位构成、包括本级预算和所属单位预算在内的汇总预算、财政拨款收支总表、一般公共预算支出表、一般公共预算基本支出表、一般公共预算“三公”经费支出表、部门收支总表、部门收入总表和部门支出总表等，我校都一一按预决算公开的要求，在校园网上进行了预决算公开。</w:t>
      </w:r>
    </w:p>
    <w:p>
      <w:pPr>
        <w:numPr>
          <w:ilvl w:val="0"/>
          <w:numId w:val="0"/>
        </w:numPr>
        <w:spacing w:line="360" w:lineRule="auto"/>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资产管理：我们进一步加强资产的管理，制定了《市委党校财务管理的规定》等制度，明确了具体责任人，完善了固定资产档案，严格报批、销审等手续，固定资产处置时，按账面原值同时注销财务账和实物账，做好资产管理台账，单位无资产流失现象。</w:t>
      </w:r>
    </w:p>
    <w:p>
      <w:pPr>
        <w:numPr>
          <w:ilvl w:val="0"/>
          <w:numId w:val="0"/>
        </w:numPr>
        <w:spacing w:line="360" w:lineRule="auto"/>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内控管理：制定了《中共益阳市委党校内部控制手册》，通过内部控制建设，重新审视和梳理现行的各项管理制度，进一步创新管理机制，强化、优化管理措施，提高及时发现和有效处置风险的能力，做到有章可循，未雨稠谋，心中有数，计划准确，实现“全员、全面、全过程”内控机制。</w:t>
      </w:r>
    </w:p>
    <w:p>
      <w:pPr>
        <w:numPr>
          <w:ilvl w:val="0"/>
          <w:numId w:val="0"/>
        </w:numPr>
        <w:spacing w:line="360" w:lineRule="auto"/>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三公经费控制情况：贯彻落实上级有关精神，坚持厉行节约，进一步优化支出结构，严格控制“三公经费”支出，取得了良好的效果，2020年三公经费年初预算17.45万元，其中公务接待费10.45万元，公务用车运行维护费7万元。本年三公经费决算数12.87万元，其中公务接待费10.06万元，完成预算的57.65%，比上年减少了0.51万元；公务用车运行维护费2.81万元，完成预算的40%，比上年减少3.71万元。</w:t>
      </w:r>
    </w:p>
    <w:p>
      <w:pPr>
        <w:numPr>
          <w:ilvl w:val="0"/>
          <w:numId w:val="0"/>
        </w:numPr>
        <w:spacing w:line="360" w:lineRule="auto"/>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（三）部门整体支出情况分析</w:t>
      </w:r>
    </w:p>
    <w:p>
      <w:pPr>
        <w:numPr>
          <w:ilvl w:val="0"/>
          <w:numId w:val="0"/>
        </w:numPr>
        <w:spacing w:line="360" w:lineRule="auto"/>
        <w:ind w:firstLine="42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从整体情况来看，我校严格按照年初预算进行部门整体支出，在支出过程中，能严格遵守各项规章制度，严格控制“三公经费”，逐年下降，所有支出项目都实行先预算再支出，基建工程严格招投标，并加强监督，在专项经费支出上，严格执行了专款专用制度，工程项目按进度进行资金拨付，无挪用滥用资金现象。</w:t>
      </w:r>
    </w:p>
    <w:p>
      <w:pPr>
        <w:numPr>
          <w:ilvl w:val="0"/>
          <w:numId w:val="0"/>
        </w:numPr>
        <w:spacing w:line="360" w:lineRule="auto"/>
        <w:ind w:firstLine="42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三、部门整体支出绩效评价工作情况</w:t>
      </w:r>
    </w:p>
    <w:p>
      <w:pPr>
        <w:numPr>
          <w:ilvl w:val="0"/>
          <w:numId w:val="0"/>
        </w:numPr>
        <w:spacing w:line="360" w:lineRule="auto"/>
        <w:ind w:firstLine="42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一）绩效评价目的：贯彻落实《预算法》，严格执行省、市、区绩效管理工作有关规定，进一步规范财政资金管理，强化财政支出绩效理念，提升部门责任意识，提高资金使用效益，促进各项工作水平进一步提升。</w:t>
      </w:r>
    </w:p>
    <w:p>
      <w:pPr>
        <w:numPr>
          <w:ilvl w:val="0"/>
          <w:numId w:val="0"/>
        </w:numPr>
        <w:spacing w:line="360" w:lineRule="auto"/>
        <w:ind w:firstLine="42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二）绩效评价的主要过程：根据绩效评价的要求，成立了自评工作领导小组，对照自评方案进行研究布署，班子成员及财务人员全程参与，按照自评方案的要求，对照各实施项目的内容逐条逐项自评，及时发现问题，查找原因，纠正偏差，为下一步工作夯实基础。</w:t>
      </w:r>
    </w:p>
    <w:p>
      <w:pPr>
        <w:numPr>
          <w:ilvl w:val="0"/>
          <w:numId w:val="0"/>
        </w:numPr>
        <w:spacing w:line="360" w:lineRule="auto"/>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四、主要绩效及评价结论</w:t>
      </w:r>
    </w:p>
    <w:p>
      <w:pPr>
        <w:numPr>
          <w:ilvl w:val="0"/>
          <w:numId w:val="0"/>
        </w:numPr>
        <w:spacing w:line="360" w:lineRule="auto"/>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一）经济性分析：当年财政拨款收入决算1983.02万元，比上年减少0.83%，当年财政拨款支出决算1949.84万元，比上年减少17.24%，其中基本支出1731.39万元，比上年减少26.26%，项目支出218.45万元，比上年增加2665.19%，上年主体班成本费列入了基本支出。按支出经济分类来看，工资福利支出1280.87万元，比上年减少7.37%，商品服务支出454.9万元，比上年减少31.18%，对个人和家庭的补助支出199.17万元，比上年增加24.03%，资本性支出14.89万元，比上年减少90.18%。</w:t>
      </w:r>
    </w:p>
    <w:p>
      <w:pPr>
        <w:numPr>
          <w:ilvl w:val="0"/>
          <w:numId w:val="0"/>
        </w:numPr>
        <w:spacing w:line="360" w:lineRule="auto"/>
        <w:ind w:firstLine="48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2020年，市委党校围绕党的中心任务和市委市政府的重大决策和战略部署，对重大理论和现实问题展开科学研究，为教学和社会实践服务，为市委市政府的科学决策服务。根据市委对全市干部队伍建设的要求，会同组织、人事、统战等部门制定的培训计划，完成了全年培训任务，教学测评率达到了99%以上。</w:t>
      </w:r>
    </w:p>
    <w:p>
      <w:pPr>
        <w:numPr>
          <w:ilvl w:val="0"/>
          <w:numId w:val="0"/>
        </w:numPr>
        <w:spacing w:line="360" w:lineRule="auto"/>
        <w:ind w:firstLine="48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五、存在的问题及原因分析</w:t>
      </w:r>
    </w:p>
    <w:p>
      <w:pPr>
        <w:numPr>
          <w:ilvl w:val="0"/>
          <w:numId w:val="0"/>
        </w:numPr>
        <w:spacing w:line="360" w:lineRule="auto"/>
        <w:ind w:firstLine="48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部分专项资金存在使用范围不明确，加上以前年度资金下达滞后，导致资金使用进度缓慢。</w:t>
      </w:r>
    </w:p>
    <w:p>
      <w:pPr>
        <w:numPr>
          <w:ilvl w:val="0"/>
          <w:numId w:val="0"/>
        </w:numPr>
        <w:spacing w:line="360" w:lineRule="auto"/>
        <w:ind w:firstLine="48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六、下一步改进措施</w:t>
      </w:r>
    </w:p>
    <w:p>
      <w:pPr>
        <w:numPr>
          <w:ilvl w:val="0"/>
          <w:numId w:val="0"/>
        </w:numPr>
        <w:spacing w:line="360" w:lineRule="auto"/>
        <w:ind w:firstLine="48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我校在预算绩效管理方面还有待改进和完善，整体支出绩效报告也是在初步摸索的过程中编制的，需要不断地规范和完善。下一步，我校将进一步健全和完善财务管理制度及内部控制制度，不断更新管理思路，在规范收支和控制经费增长上，创新管理员手断，用新思路、新方法，改进和完善财务管理办法。按照财政支出绩效管理的要求，建立科学的财政资金效益考评制度体系，不断提高财政资金使用管理的水平和效率。</w:t>
      </w:r>
    </w:p>
    <w:p>
      <w:pPr>
        <w:numPr>
          <w:ilvl w:val="0"/>
          <w:numId w:val="5"/>
        </w:numPr>
        <w:spacing w:line="360" w:lineRule="auto"/>
        <w:ind w:firstLine="48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部门整体支出绩效自评结果拟应用和公开情况</w:t>
      </w:r>
    </w:p>
    <w:p>
      <w:pPr>
        <w:numPr>
          <w:ilvl w:val="0"/>
          <w:numId w:val="0"/>
        </w:numPr>
        <w:spacing w:line="360" w:lineRule="auto"/>
        <w:ind w:firstLine="560"/>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已按要求在党校门户网站公开：部门整体支出绩效评价基础数据表和部门整体支出绩效自评报告。</w:t>
      </w:r>
    </w:p>
    <w:p>
      <w:pPr>
        <w:numPr>
          <w:ilvl w:val="0"/>
          <w:numId w:val="0"/>
        </w:numPr>
        <w:spacing w:line="360" w:lineRule="auto"/>
        <w:ind w:left="420" w:leftChars="0"/>
        <w:rPr>
          <w:rFonts w:hint="eastAsia" w:ascii="楷体_GB2312" w:hAnsi="楷体_GB2312" w:eastAsia="楷体_GB2312" w:cs="楷体_GB2312"/>
          <w:sz w:val="28"/>
          <w:szCs w:val="28"/>
          <w:lang w:val="en-US" w:eastAsia="zh-CN"/>
        </w:rPr>
      </w:pPr>
      <w:bookmarkStart w:id="0" w:name="_GoBack"/>
      <w:bookmarkEnd w:id="0"/>
    </w:p>
    <w:p>
      <w:pPr>
        <w:numPr>
          <w:ilvl w:val="0"/>
          <w:numId w:val="0"/>
        </w:numPr>
        <w:spacing w:line="360" w:lineRule="auto"/>
        <w:ind w:left="420" w:leftChars="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 xml:space="preserve">                                        中共益阳市委党校</w:t>
      </w:r>
    </w:p>
    <w:p>
      <w:pPr>
        <w:numPr>
          <w:ilvl w:val="0"/>
          <w:numId w:val="0"/>
        </w:numPr>
        <w:spacing w:line="360" w:lineRule="auto"/>
        <w:ind w:firstLine="48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　　　　　　　　　　　　　　　　　　　　2021年4月8日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4D7A3"/>
    <w:multiLevelType w:val="singleLevel"/>
    <w:tmpl w:val="9834D7A3"/>
    <w:lvl w:ilvl="0" w:tentative="0">
      <w:start w:val="2"/>
      <w:numFmt w:val="decimal"/>
      <w:suff w:val="nothing"/>
      <w:lvlText w:val="（%1）"/>
      <w:lvlJc w:val="left"/>
    </w:lvl>
  </w:abstractNum>
  <w:abstractNum w:abstractNumId="1">
    <w:nsid w:val="ADF740DC"/>
    <w:multiLevelType w:val="singleLevel"/>
    <w:tmpl w:val="ADF740DC"/>
    <w:lvl w:ilvl="0" w:tentative="0">
      <w:start w:val="7"/>
      <w:numFmt w:val="chineseCounting"/>
      <w:suff w:val="nothing"/>
      <w:lvlText w:val="%1、"/>
      <w:lvlJc w:val="left"/>
      <w:rPr>
        <w:rFonts w:hint="eastAsia"/>
      </w:rPr>
    </w:lvl>
  </w:abstractNum>
  <w:abstractNum w:abstractNumId="2">
    <w:nsid w:val="2E02E585"/>
    <w:multiLevelType w:val="singleLevel"/>
    <w:tmpl w:val="2E02E585"/>
    <w:lvl w:ilvl="0" w:tentative="0">
      <w:start w:val="1"/>
      <w:numFmt w:val="decimal"/>
      <w:suff w:val="nothing"/>
      <w:lvlText w:val="%1、"/>
      <w:lvlJc w:val="left"/>
    </w:lvl>
  </w:abstractNum>
  <w:abstractNum w:abstractNumId="3">
    <w:nsid w:val="580D6405"/>
    <w:multiLevelType w:val="singleLevel"/>
    <w:tmpl w:val="580D6405"/>
    <w:lvl w:ilvl="0" w:tentative="0">
      <w:start w:val="1"/>
      <w:numFmt w:val="decimal"/>
      <w:suff w:val="nothing"/>
      <w:lvlText w:val="%1、"/>
      <w:lvlJc w:val="left"/>
    </w:lvl>
  </w:abstractNum>
  <w:abstractNum w:abstractNumId="4">
    <w:nsid w:val="5AD154AB"/>
    <w:multiLevelType w:val="singleLevel"/>
    <w:tmpl w:val="5AD154AB"/>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D03B8"/>
    <w:rsid w:val="01C969FE"/>
    <w:rsid w:val="01FF254B"/>
    <w:rsid w:val="0F52453B"/>
    <w:rsid w:val="0FAA187F"/>
    <w:rsid w:val="144539C0"/>
    <w:rsid w:val="15281AFC"/>
    <w:rsid w:val="1655545C"/>
    <w:rsid w:val="17DA26EC"/>
    <w:rsid w:val="1A083DB6"/>
    <w:rsid w:val="1B4D27EA"/>
    <w:rsid w:val="1BFF3271"/>
    <w:rsid w:val="1E2665CD"/>
    <w:rsid w:val="1E8A010E"/>
    <w:rsid w:val="1FB1723E"/>
    <w:rsid w:val="1FE26EFD"/>
    <w:rsid w:val="210C4A85"/>
    <w:rsid w:val="25063514"/>
    <w:rsid w:val="26273103"/>
    <w:rsid w:val="2675053A"/>
    <w:rsid w:val="2E314340"/>
    <w:rsid w:val="2ED1762B"/>
    <w:rsid w:val="358E336B"/>
    <w:rsid w:val="3C1D7967"/>
    <w:rsid w:val="417F4D49"/>
    <w:rsid w:val="4496571C"/>
    <w:rsid w:val="4A3E2CA3"/>
    <w:rsid w:val="4DBB0F48"/>
    <w:rsid w:val="4FCF5F7C"/>
    <w:rsid w:val="53DD731F"/>
    <w:rsid w:val="541B4828"/>
    <w:rsid w:val="5B61577C"/>
    <w:rsid w:val="60A82E83"/>
    <w:rsid w:val="63E30A52"/>
    <w:rsid w:val="67F17A57"/>
    <w:rsid w:val="699D03B8"/>
    <w:rsid w:val="6A8F4568"/>
    <w:rsid w:val="6B30566B"/>
    <w:rsid w:val="6C673402"/>
    <w:rsid w:val="713B7F41"/>
    <w:rsid w:val="71950C8E"/>
    <w:rsid w:val="721D49C4"/>
    <w:rsid w:val="73722259"/>
    <w:rsid w:val="751F60DD"/>
    <w:rsid w:val="7BB838AE"/>
    <w:rsid w:val="7C8E38A7"/>
    <w:rsid w:val="7E0B63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2016-10-24T00:36:00Z</dcterms:created>
  <dc:creator>Administrator</dc:creator>
  <cp:lastModifiedBy>潘尚兵</cp:lastModifiedBy>
  <cp:lastPrinted>2018-04-25T01:16:00Z</cp:lastPrinted>
  <dcterms:modified xsi:type="dcterms:W3CDTF">2021-04-12T06:49:10Z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968B402AE01D41B1A0A2F1CE56CD8660</vt:lpwstr>
  </property>
</Properties>
</file>